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27AD" w14:textId="77777777" w:rsidR="00675AD0" w:rsidRDefault="00675AD0" w:rsidP="00675AD0">
      <w:pPr>
        <w:rPr>
          <w:rFonts w:ascii="Arial" w:hAnsi="Arial" w:cs="Arial"/>
        </w:rPr>
      </w:pPr>
    </w:p>
    <w:p w14:paraId="4BF42222" w14:textId="2D038B25" w:rsidR="00675AD0" w:rsidRPr="00675AD0" w:rsidRDefault="00675AD0" w:rsidP="00675AD0">
      <w:pPr>
        <w:jc w:val="center"/>
        <w:rPr>
          <w:rFonts w:ascii="Arial" w:hAnsi="Arial" w:cs="Arial"/>
          <w:b/>
          <w:bCs/>
          <w:sz w:val="32"/>
          <w:szCs w:val="32"/>
        </w:rPr>
      </w:pPr>
      <w:r w:rsidRPr="00675AD0">
        <w:rPr>
          <w:rFonts w:ascii="Arial" w:hAnsi="Arial" w:cs="Arial"/>
          <w:b/>
          <w:bCs/>
          <w:sz w:val="32"/>
          <w:szCs w:val="32"/>
        </w:rPr>
        <w:t>Process</w:t>
      </w:r>
      <w:r w:rsidR="00FC3A1A" w:rsidRPr="00675AD0">
        <w:rPr>
          <w:rFonts w:ascii="Arial" w:hAnsi="Arial" w:cs="Arial"/>
          <w:b/>
          <w:bCs/>
          <w:sz w:val="32"/>
          <w:szCs w:val="32"/>
        </w:rPr>
        <w:t>: MIH</w:t>
      </w:r>
      <w:r w:rsidRPr="00675AD0">
        <w:rPr>
          <w:rFonts w:ascii="Arial" w:hAnsi="Arial" w:cs="Arial"/>
          <w:b/>
          <w:bCs/>
          <w:sz w:val="32"/>
          <w:szCs w:val="32"/>
        </w:rPr>
        <w:t xml:space="preserve"> Software Integration </w:t>
      </w:r>
      <w:proofErr w:type="gramStart"/>
      <w:r w:rsidRPr="00675AD0">
        <w:rPr>
          <w:rFonts w:ascii="Arial" w:hAnsi="Arial" w:cs="Arial"/>
          <w:b/>
          <w:bCs/>
          <w:sz w:val="32"/>
          <w:szCs w:val="32"/>
        </w:rPr>
        <w:t>to</w:t>
      </w:r>
      <w:proofErr w:type="gramEnd"/>
      <w:r w:rsidRPr="00675AD0">
        <w:rPr>
          <w:rFonts w:ascii="Arial" w:hAnsi="Arial" w:cs="Arial"/>
          <w:b/>
          <w:bCs/>
          <w:sz w:val="32"/>
          <w:szCs w:val="32"/>
        </w:rPr>
        <w:t xml:space="preserve"> </w:t>
      </w:r>
      <w:r w:rsidR="00FC3A1A" w:rsidRPr="00675AD0">
        <w:rPr>
          <w:rFonts w:ascii="Arial" w:hAnsi="Arial" w:cs="Arial"/>
          <w:b/>
          <w:bCs/>
          <w:sz w:val="32"/>
          <w:szCs w:val="32"/>
        </w:rPr>
        <w:t>Biospatial</w:t>
      </w:r>
      <w:r w:rsidRPr="00675AD0">
        <w:rPr>
          <w:rFonts w:ascii="Arial" w:hAnsi="Arial" w:cs="Arial"/>
          <w:b/>
          <w:bCs/>
          <w:sz w:val="32"/>
          <w:szCs w:val="32"/>
        </w:rPr>
        <w:t>.</w:t>
      </w:r>
    </w:p>
    <w:p w14:paraId="69C582D8" w14:textId="77777777" w:rsidR="00675AD0" w:rsidRDefault="00675AD0" w:rsidP="00761A11">
      <w:pPr>
        <w:spacing w:after="0" w:line="216" w:lineRule="auto"/>
        <w:contextualSpacing/>
        <w:rPr>
          <w:rFonts w:ascii="Arial" w:eastAsia="+mn-ea" w:hAnsi="Arial" w:cs="Arial"/>
          <w:color w:val="000000"/>
          <w:kern w:val="24"/>
          <w14:ligatures w14:val="none"/>
        </w:rPr>
      </w:pPr>
    </w:p>
    <w:p w14:paraId="461A2A61" w14:textId="428160A6" w:rsidR="00761A11" w:rsidRPr="00675AD0" w:rsidRDefault="00675AD0" w:rsidP="00761A11">
      <w:pPr>
        <w:spacing w:after="0" w:line="216" w:lineRule="auto"/>
        <w:contextualSpacing/>
        <w:rPr>
          <w:rFonts w:ascii="Arial" w:eastAsia="+mn-ea" w:hAnsi="Arial" w:cs="Arial"/>
          <w:color w:val="000000"/>
          <w:kern w:val="24"/>
          <w14:ligatures w14:val="none"/>
        </w:rPr>
      </w:pPr>
      <w:r w:rsidRPr="00675AD0">
        <w:rPr>
          <w:rFonts w:ascii="Arial" w:eastAsia="+mn-ea" w:hAnsi="Arial" w:cs="Arial"/>
          <w:b/>
          <w:bCs/>
          <w:color w:val="000000"/>
          <w:kern w:val="24"/>
          <w14:ligatures w14:val="none"/>
        </w:rPr>
        <w:t>Background</w:t>
      </w:r>
      <w:r w:rsidR="00FC3A1A" w:rsidRPr="00675AD0">
        <w:rPr>
          <w:rFonts w:ascii="Arial" w:eastAsia="+mn-ea" w:hAnsi="Arial" w:cs="Arial"/>
          <w:b/>
          <w:bCs/>
          <w:color w:val="000000"/>
          <w:kern w:val="24"/>
          <w14:ligatures w14:val="none"/>
        </w:rPr>
        <w:t>:</w:t>
      </w:r>
      <w:r w:rsidR="00FC3A1A">
        <w:rPr>
          <w:rFonts w:ascii="Arial" w:eastAsia="+mn-ea" w:hAnsi="Arial" w:cs="Arial"/>
          <w:color w:val="000000"/>
          <w:kern w:val="24"/>
          <w14:ligatures w14:val="none"/>
        </w:rPr>
        <w:t xml:space="preserve"> Data</w:t>
      </w:r>
      <w:r w:rsidR="00761A11" w:rsidRPr="00761A11">
        <w:rPr>
          <w:rFonts w:ascii="Arial" w:eastAsia="+mn-ea" w:hAnsi="Arial" w:cs="Arial"/>
          <w:color w:val="000000"/>
          <w:kern w:val="24"/>
          <w14:ligatures w14:val="none"/>
        </w:rPr>
        <w:t xml:space="preserve"> on EMS events, including MIH </w:t>
      </w:r>
      <w:r w:rsidR="00B04F6A" w:rsidRPr="00761A11">
        <w:rPr>
          <w:rFonts w:ascii="Arial" w:eastAsia="+mn-ea" w:hAnsi="Arial" w:cs="Arial"/>
          <w:color w:val="000000"/>
          <w:kern w:val="24"/>
          <w14:ligatures w14:val="none"/>
        </w:rPr>
        <w:t>visits,</w:t>
      </w:r>
      <w:r w:rsidR="00761A11" w:rsidRPr="00761A11">
        <w:rPr>
          <w:rFonts w:ascii="Arial" w:eastAsia="+mn-ea" w:hAnsi="Arial" w:cs="Arial"/>
          <w:color w:val="000000"/>
          <w:kern w:val="24"/>
          <w14:ligatures w14:val="none"/>
        </w:rPr>
        <w:t xml:space="preserve"> may be collected in multiple systems.  It is not within the scope, nor the intent, of the state to dictate which systems can or should collect this data; however, it is the intent that information be reported to the statewide EMSTARS system as an EMS event regardless of which system was used to initially capture it.</w:t>
      </w:r>
    </w:p>
    <w:p w14:paraId="40F986F8" w14:textId="77777777" w:rsidR="00761A11" w:rsidRPr="00761A11" w:rsidRDefault="00761A11" w:rsidP="00761A11">
      <w:pPr>
        <w:spacing w:after="0" w:line="216" w:lineRule="auto"/>
        <w:contextualSpacing/>
        <w:rPr>
          <w:rFonts w:ascii="Arial" w:eastAsia="Times New Roman" w:hAnsi="Arial" w:cs="Arial"/>
          <w:kern w:val="0"/>
          <w14:ligatures w14:val="none"/>
        </w:rPr>
      </w:pPr>
    </w:p>
    <w:p w14:paraId="74D8B3E9" w14:textId="77777777" w:rsidR="00761A11" w:rsidRPr="00675AD0" w:rsidRDefault="00761A11" w:rsidP="00761A11">
      <w:pPr>
        <w:spacing w:after="0" w:line="216" w:lineRule="auto"/>
        <w:contextualSpacing/>
        <w:rPr>
          <w:rFonts w:ascii="Arial" w:eastAsia="+mn-ea" w:hAnsi="Arial" w:cs="Arial"/>
          <w:color w:val="000000"/>
          <w:kern w:val="24"/>
          <w14:ligatures w14:val="none"/>
        </w:rPr>
      </w:pPr>
      <w:r w:rsidRPr="00761A11">
        <w:rPr>
          <w:rFonts w:ascii="Arial" w:eastAsia="+mn-ea" w:hAnsi="Arial" w:cs="Arial"/>
          <w:color w:val="000000"/>
          <w:kern w:val="24"/>
          <w14:ligatures w14:val="none"/>
        </w:rPr>
        <w:t>Where multiple systems are utilized to capture information on EMS events, a participating agency must determine whether to pursue system integration or require crews to enter the required information in the separate systems. Each agency must evaluate its needs and its resources and determine the best solution for its operations.</w:t>
      </w:r>
    </w:p>
    <w:p w14:paraId="1DD9D8AE" w14:textId="77777777" w:rsidR="00761A11" w:rsidRPr="00761A11" w:rsidRDefault="00761A11" w:rsidP="00761A11">
      <w:pPr>
        <w:spacing w:after="0" w:line="216" w:lineRule="auto"/>
        <w:contextualSpacing/>
        <w:rPr>
          <w:rFonts w:ascii="Arial" w:eastAsia="Times New Roman" w:hAnsi="Arial" w:cs="Arial"/>
          <w:kern w:val="0"/>
          <w14:ligatures w14:val="none"/>
        </w:rPr>
      </w:pPr>
    </w:p>
    <w:p w14:paraId="387AE855" w14:textId="77777777" w:rsidR="00761A11" w:rsidRPr="00761A11" w:rsidRDefault="00761A11" w:rsidP="00761A11">
      <w:pPr>
        <w:spacing w:after="0" w:line="216" w:lineRule="auto"/>
        <w:contextualSpacing/>
        <w:rPr>
          <w:rFonts w:ascii="Arial" w:eastAsia="Times New Roman" w:hAnsi="Arial" w:cs="Arial"/>
          <w:kern w:val="0"/>
          <w14:ligatures w14:val="none"/>
        </w:rPr>
      </w:pPr>
      <w:r w:rsidRPr="00761A11">
        <w:rPr>
          <w:rFonts w:ascii="Arial" w:eastAsia="+mn-ea" w:hAnsi="Arial" w:cs="Arial"/>
          <w:color w:val="000000"/>
          <w:kern w:val="24"/>
          <w14:ligatures w14:val="none"/>
        </w:rPr>
        <w:t>It does not matter how the event records are transmitted to the EMSTARS system; they could be exported from one system or combined into a single export from multiple sources. The only requirement is that event records are sent, with the required information included, based on the XML schema definitions provided by the Florida EMS Data Dictionary.   Again, the MIH data requirements are minimized for submission.</w:t>
      </w:r>
    </w:p>
    <w:p w14:paraId="62ECCB7D" w14:textId="77777777" w:rsidR="00675AD0" w:rsidRDefault="00675AD0" w:rsidP="00675AD0">
      <w:pPr>
        <w:rPr>
          <w:rFonts w:ascii="Arial" w:hAnsi="Arial" w:cs="Arial"/>
        </w:rPr>
      </w:pPr>
    </w:p>
    <w:p w14:paraId="738A147E" w14:textId="28864EB3" w:rsidR="00675AD0" w:rsidRDefault="00675AD0" w:rsidP="00675AD0">
      <w:pPr>
        <w:rPr>
          <w:rFonts w:ascii="Arial" w:hAnsi="Arial" w:cs="Arial"/>
        </w:rPr>
      </w:pPr>
      <w:r w:rsidRPr="00675AD0">
        <w:rPr>
          <w:rFonts w:ascii="Arial" w:hAnsi="Arial" w:cs="Arial"/>
          <w:b/>
          <w:bCs/>
        </w:rPr>
        <w:t>Process Description</w:t>
      </w:r>
      <w:r w:rsidR="00FC3A1A">
        <w:rPr>
          <w:rFonts w:ascii="Arial" w:hAnsi="Arial" w:cs="Arial"/>
        </w:rPr>
        <w:t>: The</w:t>
      </w:r>
      <w:r w:rsidRPr="00675AD0">
        <w:rPr>
          <w:rFonts w:ascii="Arial" w:hAnsi="Arial" w:cs="Arial"/>
        </w:rPr>
        <w:t xml:space="preserve"> state has </w:t>
      </w:r>
      <w:r>
        <w:rPr>
          <w:rFonts w:ascii="Arial" w:hAnsi="Arial" w:cs="Arial"/>
        </w:rPr>
        <w:t>defined a process</w:t>
      </w:r>
      <w:r w:rsidRPr="00675AD0">
        <w:rPr>
          <w:rFonts w:ascii="Arial" w:hAnsi="Arial" w:cs="Arial"/>
        </w:rPr>
        <w:t xml:space="preserve"> to facilitate the collection of a minimum set of data related to MIH encounters from licensed EMS agencies</w:t>
      </w:r>
      <w:r>
        <w:rPr>
          <w:rFonts w:ascii="Arial" w:hAnsi="Arial" w:cs="Arial"/>
        </w:rPr>
        <w:t xml:space="preserve"> via their existing MIH Software to populate the </w:t>
      </w:r>
      <w:r w:rsidR="00B04F6A">
        <w:rPr>
          <w:rFonts w:ascii="Arial" w:hAnsi="Arial" w:cs="Arial"/>
        </w:rPr>
        <w:t>state’s</w:t>
      </w:r>
      <w:r>
        <w:rPr>
          <w:rFonts w:ascii="Arial" w:hAnsi="Arial" w:cs="Arial"/>
        </w:rPr>
        <w:t xml:space="preserve"> EMS repository </w:t>
      </w:r>
      <w:proofErr w:type="spellStart"/>
      <w:r>
        <w:rPr>
          <w:rFonts w:ascii="Arial" w:hAnsi="Arial" w:cs="Arial"/>
        </w:rPr>
        <w:t>biospatial</w:t>
      </w:r>
      <w:proofErr w:type="spellEnd"/>
      <w:r w:rsidRPr="00675AD0">
        <w:rPr>
          <w:rFonts w:ascii="Arial" w:hAnsi="Arial" w:cs="Arial"/>
        </w:rPr>
        <w:t xml:space="preserve">.  </w:t>
      </w:r>
      <w:r>
        <w:rPr>
          <w:rFonts w:ascii="Arial" w:hAnsi="Arial" w:cs="Arial"/>
        </w:rPr>
        <w:t>The following describes the process for this.</w:t>
      </w:r>
    </w:p>
    <w:p w14:paraId="2C088308" w14:textId="77777777" w:rsidR="00675AD0" w:rsidRPr="00675AD0" w:rsidRDefault="00675AD0" w:rsidP="00675AD0">
      <w:pPr>
        <w:pStyle w:val="ListParagraph"/>
        <w:numPr>
          <w:ilvl w:val="0"/>
          <w:numId w:val="2"/>
        </w:numPr>
        <w:rPr>
          <w:rFonts w:ascii="Arial" w:hAnsi="Arial" w:cs="Arial"/>
        </w:rPr>
      </w:pPr>
      <w:r w:rsidRPr="00675AD0">
        <w:rPr>
          <w:rFonts w:ascii="Arial" w:hAnsi="Arial" w:cs="Arial"/>
        </w:rPr>
        <w:t>Initiation</w:t>
      </w:r>
    </w:p>
    <w:p w14:paraId="3E372232" w14:textId="7E459435" w:rsidR="00675AD0" w:rsidRPr="00675AD0" w:rsidRDefault="00675AD0" w:rsidP="00675AD0">
      <w:pPr>
        <w:pStyle w:val="ListParagraph"/>
        <w:numPr>
          <w:ilvl w:val="1"/>
          <w:numId w:val="2"/>
        </w:numPr>
        <w:rPr>
          <w:rFonts w:ascii="Arial" w:hAnsi="Arial" w:cs="Arial"/>
        </w:rPr>
      </w:pPr>
      <w:r w:rsidRPr="00675AD0">
        <w:rPr>
          <w:rFonts w:ascii="Arial" w:hAnsi="Arial" w:cs="Arial"/>
        </w:rPr>
        <w:t xml:space="preserve">Initiate project initiation call – MIH Vendor and State will conduct introductory call to plan the test and implementation of vendor MIH encounters for an </w:t>
      </w:r>
      <w:r w:rsidR="00333483">
        <w:rPr>
          <w:rFonts w:ascii="Arial" w:hAnsi="Arial" w:cs="Arial"/>
        </w:rPr>
        <w:t xml:space="preserve">identified </w:t>
      </w:r>
      <w:r w:rsidRPr="00675AD0">
        <w:rPr>
          <w:rFonts w:ascii="Arial" w:hAnsi="Arial" w:cs="Arial"/>
        </w:rPr>
        <w:t>agency</w:t>
      </w:r>
    </w:p>
    <w:p w14:paraId="4F140466" w14:textId="400B9882" w:rsidR="00675AD0" w:rsidRPr="00675AD0" w:rsidRDefault="00675AD0" w:rsidP="00675AD0">
      <w:pPr>
        <w:pStyle w:val="ListParagraph"/>
        <w:numPr>
          <w:ilvl w:val="1"/>
          <w:numId w:val="2"/>
        </w:numPr>
        <w:rPr>
          <w:rFonts w:ascii="Arial" w:hAnsi="Arial" w:cs="Arial"/>
        </w:rPr>
      </w:pPr>
      <w:r w:rsidRPr="00675AD0">
        <w:rPr>
          <w:rFonts w:ascii="Arial" w:hAnsi="Arial" w:cs="Arial"/>
        </w:rPr>
        <w:t>State</w:t>
      </w:r>
      <w:r w:rsidR="00333483">
        <w:rPr>
          <w:rFonts w:ascii="Arial" w:hAnsi="Arial" w:cs="Arial"/>
        </w:rPr>
        <w:t>/MIH Vendor</w:t>
      </w:r>
      <w:r w:rsidRPr="00675AD0">
        <w:rPr>
          <w:rFonts w:ascii="Arial" w:hAnsi="Arial" w:cs="Arial"/>
        </w:rPr>
        <w:t xml:space="preserve"> will review recommended MIH elements within the Florida Data dictionary as well as review of the custom element requirements</w:t>
      </w:r>
    </w:p>
    <w:p w14:paraId="5CF8E8E9" w14:textId="36078237" w:rsidR="00675AD0" w:rsidRPr="00675AD0" w:rsidRDefault="00675AD0" w:rsidP="00675AD0">
      <w:pPr>
        <w:pStyle w:val="ListParagraph"/>
        <w:numPr>
          <w:ilvl w:val="1"/>
          <w:numId w:val="2"/>
        </w:numPr>
        <w:rPr>
          <w:rFonts w:ascii="Arial" w:hAnsi="Arial" w:cs="Arial"/>
        </w:rPr>
      </w:pPr>
      <w:r w:rsidRPr="00675AD0">
        <w:rPr>
          <w:rFonts w:ascii="Arial" w:hAnsi="Arial" w:cs="Arial"/>
        </w:rPr>
        <w:t>Discussion of Data Element mapping discussion of vendor elements to Florida elements</w:t>
      </w:r>
      <w:r w:rsidR="00333483">
        <w:rPr>
          <w:rFonts w:ascii="Arial" w:hAnsi="Arial" w:cs="Arial"/>
        </w:rPr>
        <w:t xml:space="preserve"> as needed</w:t>
      </w:r>
    </w:p>
    <w:p w14:paraId="71C9877D" w14:textId="5CAD0F10" w:rsidR="00675AD0" w:rsidRDefault="00675AD0" w:rsidP="00675AD0">
      <w:pPr>
        <w:pStyle w:val="ListParagraph"/>
        <w:numPr>
          <w:ilvl w:val="0"/>
          <w:numId w:val="2"/>
        </w:numPr>
        <w:rPr>
          <w:rFonts w:ascii="Arial" w:hAnsi="Arial" w:cs="Arial"/>
        </w:rPr>
      </w:pPr>
      <w:r w:rsidRPr="00675AD0">
        <w:rPr>
          <w:rFonts w:ascii="Arial" w:hAnsi="Arial" w:cs="Arial"/>
        </w:rPr>
        <w:t>Development Environment Testing</w:t>
      </w:r>
    </w:p>
    <w:p w14:paraId="73717CA6" w14:textId="54901BDA" w:rsidR="00675AD0" w:rsidRDefault="00675AD0" w:rsidP="00675AD0">
      <w:pPr>
        <w:pStyle w:val="ListParagraph"/>
        <w:numPr>
          <w:ilvl w:val="1"/>
          <w:numId w:val="2"/>
        </w:numPr>
        <w:rPr>
          <w:rFonts w:ascii="Arial" w:hAnsi="Arial" w:cs="Arial"/>
        </w:rPr>
      </w:pPr>
      <w:r>
        <w:rPr>
          <w:rFonts w:ascii="Arial" w:hAnsi="Arial" w:cs="Arial"/>
        </w:rPr>
        <w:t>State provides MIH vendor with Demo environment credentials</w:t>
      </w:r>
    </w:p>
    <w:p w14:paraId="29EB34A2" w14:textId="368032D8" w:rsidR="00675AD0" w:rsidRDefault="00675AD0" w:rsidP="00675AD0">
      <w:pPr>
        <w:pStyle w:val="ListParagraph"/>
        <w:numPr>
          <w:ilvl w:val="1"/>
          <w:numId w:val="2"/>
        </w:numPr>
        <w:rPr>
          <w:rFonts w:ascii="Arial" w:hAnsi="Arial" w:cs="Arial"/>
        </w:rPr>
      </w:pPr>
      <w:r>
        <w:rPr>
          <w:rFonts w:ascii="Arial" w:hAnsi="Arial" w:cs="Arial"/>
        </w:rPr>
        <w:t xml:space="preserve">State provides MIH </w:t>
      </w:r>
      <w:r w:rsidR="00FC3A1A">
        <w:rPr>
          <w:rFonts w:ascii="Arial" w:hAnsi="Arial" w:cs="Arial"/>
        </w:rPr>
        <w:t>vendors</w:t>
      </w:r>
      <w:r>
        <w:rPr>
          <w:rFonts w:ascii="Arial" w:hAnsi="Arial" w:cs="Arial"/>
        </w:rPr>
        <w:t xml:space="preserve"> with test cases</w:t>
      </w:r>
    </w:p>
    <w:p w14:paraId="4AD48BB3" w14:textId="5F603605" w:rsidR="00675AD0" w:rsidRDefault="00675AD0" w:rsidP="00675AD0">
      <w:pPr>
        <w:pStyle w:val="ListParagraph"/>
        <w:numPr>
          <w:ilvl w:val="1"/>
          <w:numId w:val="2"/>
        </w:numPr>
        <w:rPr>
          <w:rFonts w:ascii="Arial" w:hAnsi="Arial" w:cs="Arial"/>
        </w:rPr>
      </w:pPr>
      <w:r>
        <w:rPr>
          <w:rFonts w:ascii="Arial" w:hAnsi="Arial" w:cs="Arial"/>
        </w:rPr>
        <w:t xml:space="preserve">MIH Vendor </w:t>
      </w:r>
      <w:r w:rsidR="00F55702">
        <w:rPr>
          <w:rFonts w:ascii="Arial" w:hAnsi="Arial" w:cs="Arial"/>
        </w:rPr>
        <w:t xml:space="preserve">creates </w:t>
      </w:r>
      <w:r w:rsidR="00B04F6A">
        <w:rPr>
          <w:rFonts w:ascii="Arial" w:hAnsi="Arial" w:cs="Arial"/>
        </w:rPr>
        <w:t>test</w:t>
      </w:r>
      <w:r w:rsidR="00F55702">
        <w:rPr>
          <w:rFonts w:ascii="Arial" w:hAnsi="Arial" w:cs="Arial"/>
        </w:rPr>
        <w:t xml:space="preserve"> cases within the test environment</w:t>
      </w:r>
    </w:p>
    <w:p w14:paraId="696A12ED" w14:textId="2A4076C6" w:rsidR="00F55702" w:rsidRDefault="00F55702" w:rsidP="00675AD0">
      <w:pPr>
        <w:pStyle w:val="ListParagraph"/>
        <w:numPr>
          <w:ilvl w:val="1"/>
          <w:numId w:val="2"/>
        </w:numPr>
        <w:rPr>
          <w:rFonts w:ascii="Arial" w:hAnsi="Arial" w:cs="Arial"/>
        </w:rPr>
      </w:pPr>
      <w:r>
        <w:rPr>
          <w:rFonts w:ascii="Arial" w:hAnsi="Arial" w:cs="Arial"/>
        </w:rPr>
        <w:t>State conducts validation of submitted test cases</w:t>
      </w:r>
    </w:p>
    <w:p w14:paraId="148E8B57" w14:textId="19F9783F" w:rsidR="00F55702" w:rsidRDefault="00F55702" w:rsidP="00675AD0">
      <w:pPr>
        <w:pStyle w:val="ListParagraph"/>
        <w:numPr>
          <w:ilvl w:val="1"/>
          <w:numId w:val="2"/>
        </w:numPr>
        <w:rPr>
          <w:rFonts w:ascii="Arial" w:hAnsi="Arial" w:cs="Arial"/>
        </w:rPr>
      </w:pPr>
      <w:r>
        <w:rPr>
          <w:rFonts w:ascii="Arial" w:hAnsi="Arial" w:cs="Arial"/>
        </w:rPr>
        <w:t xml:space="preserve">MIH Vendor conducts </w:t>
      </w:r>
      <w:r w:rsidR="00333483">
        <w:rPr>
          <w:rFonts w:ascii="Arial" w:hAnsi="Arial" w:cs="Arial"/>
        </w:rPr>
        <w:t xml:space="preserve">live </w:t>
      </w:r>
      <w:r>
        <w:rPr>
          <w:rFonts w:ascii="Arial" w:hAnsi="Arial" w:cs="Arial"/>
        </w:rPr>
        <w:t>demo of final test case with State team</w:t>
      </w:r>
    </w:p>
    <w:p w14:paraId="67CCF023" w14:textId="52764BA1" w:rsidR="00F55702" w:rsidRPr="00675AD0" w:rsidRDefault="00F55702" w:rsidP="00675AD0">
      <w:pPr>
        <w:pStyle w:val="ListParagraph"/>
        <w:numPr>
          <w:ilvl w:val="1"/>
          <w:numId w:val="2"/>
        </w:numPr>
        <w:rPr>
          <w:rFonts w:ascii="Arial" w:hAnsi="Arial" w:cs="Arial"/>
        </w:rPr>
      </w:pPr>
      <w:r>
        <w:rPr>
          <w:rFonts w:ascii="Arial" w:hAnsi="Arial" w:cs="Arial"/>
        </w:rPr>
        <w:t>Approval/rework of test</w:t>
      </w:r>
    </w:p>
    <w:p w14:paraId="6E0E6A8B" w14:textId="77777777" w:rsidR="00675AD0" w:rsidRDefault="00675AD0" w:rsidP="00675AD0">
      <w:pPr>
        <w:rPr>
          <w:rFonts w:ascii="Arial" w:hAnsi="Arial" w:cs="Arial"/>
        </w:rPr>
      </w:pPr>
    </w:p>
    <w:p w14:paraId="6D0AA32A" w14:textId="77777777" w:rsidR="00F55702" w:rsidRDefault="00F55702" w:rsidP="00675AD0">
      <w:pPr>
        <w:rPr>
          <w:rFonts w:ascii="Arial" w:hAnsi="Arial" w:cs="Arial"/>
        </w:rPr>
      </w:pPr>
    </w:p>
    <w:p w14:paraId="1B0A95FD" w14:textId="28D559C4" w:rsidR="00675AD0" w:rsidRDefault="00675AD0" w:rsidP="00675AD0">
      <w:pPr>
        <w:pStyle w:val="ListParagraph"/>
        <w:numPr>
          <w:ilvl w:val="0"/>
          <w:numId w:val="2"/>
        </w:numPr>
        <w:rPr>
          <w:rFonts w:ascii="Arial" w:hAnsi="Arial" w:cs="Arial"/>
        </w:rPr>
      </w:pPr>
      <w:r w:rsidRPr="00675AD0">
        <w:rPr>
          <w:rFonts w:ascii="Arial" w:hAnsi="Arial" w:cs="Arial"/>
        </w:rPr>
        <w:t>Production Implementation</w:t>
      </w:r>
    </w:p>
    <w:p w14:paraId="0006449F" w14:textId="5724BB8E" w:rsidR="00F55702" w:rsidRDefault="00F55702" w:rsidP="00F55702">
      <w:pPr>
        <w:pStyle w:val="ListParagraph"/>
        <w:numPr>
          <w:ilvl w:val="1"/>
          <w:numId w:val="2"/>
        </w:numPr>
        <w:rPr>
          <w:rFonts w:ascii="Arial" w:hAnsi="Arial" w:cs="Arial"/>
        </w:rPr>
      </w:pPr>
      <w:r>
        <w:rPr>
          <w:rFonts w:ascii="Arial" w:hAnsi="Arial" w:cs="Arial"/>
        </w:rPr>
        <w:t>Upon approval to proceed to production, State provides production credentials to MIH vendor</w:t>
      </w:r>
    </w:p>
    <w:p w14:paraId="37279C5C" w14:textId="479C314F" w:rsidR="00F55702" w:rsidRDefault="00F55702" w:rsidP="00F55702">
      <w:pPr>
        <w:pStyle w:val="ListParagraph"/>
        <w:numPr>
          <w:ilvl w:val="1"/>
          <w:numId w:val="2"/>
        </w:numPr>
        <w:rPr>
          <w:rFonts w:ascii="Arial" w:hAnsi="Arial" w:cs="Arial"/>
        </w:rPr>
      </w:pPr>
      <w:r>
        <w:rPr>
          <w:rFonts w:ascii="Arial" w:hAnsi="Arial" w:cs="Arial"/>
        </w:rPr>
        <w:t>MIH vendor proceeds with MIH data submissions</w:t>
      </w:r>
    </w:p>
    <w:p w14:paraId="38DD4837" w14:textId="461F9E4C" w:rsidR="00F55702" w:rsidRDefault="00F55702" w:rsidP="00F55702">
      <w:pPr>
        <w:pStyle w:val="ListParagraph"/>
        <w:numPr>
          <w:ilvl w:val="1"/>
          <w:numId w:val="2"/>
        </w:numPr>
        <w:rPr>
          <w:rFonts w:ascii="Arial" w:hAnsi="Arial" w:cs="Arial"/>
        </w:rPr>
      </w:pPr>
      <w:r>
        <w:rPr>
          <w:rFonts w:ascii="Arial" w:hAnsi="Arial" w:cs="Arial"/>
        </w:rPr>
        <w:t>State validates the first submissions</w:t>
      </w:r>
    </w:p>
    <w:p w14:paraId="55537A5C" w14:textId="174F7AC7" w:rsidR="00F55702" w:rsidRPr="00675AD0" w:rsidRDefault="00F55702" w:rsidP="00F55702">
      <w:pPr>
        <w:pStyle w:val="ListParagraph"/>
        <w:numPr>
          <w:ilvl w:val="1"/>
          <w:numId w:val="2"/>
        </w:numPr>
        <w:rPr>
          <w:rFonts w:ascii="Arial" w:hAnsi="Arial" w:cs="Arial"/>
        </w:rPr>
      </w:pPr>
      <w:r>
        <w:rPr>
          <w:rFonts w:ascii="Arial" w:hAnsi="Arial" w:cs="Arial"/>
        </w:rPr>
        <w:t>State works with MIH vendor to identify next set of agencies to transition to submission to the state repository</w:t>
      </w:r>
    </w:p>
    <w:p w14:paraId="5FF0A2FA" w14:textId="77777777" w:rsidR="00761A11" w:rsidRPr="00675AD0" w:rsidRDefault="00761A11" w:rsidP="00761A11">
      <w:pPr>
        <w:pStyle w:val="NormalWeb"/>
        <w:spacing w:before="200" w:beforeAutospacing="0" w:after="0" w:afterAutospacing="0" w:line="216" w:lineRule="auto"/>
        <w:rPr>
          <w:rFonts w:ascii="Arial" w:eastAsiaTheme="minorEastAsia" w:hAnsi="Arial" w:cs="Arial"/>
          <w:color w:val="000000" w:themeColor="text1"/>
          <w:kern w:val="24"/>
          <w:position w:val="1"/>
        </w:rPr>
      </w:pPr>
    </w:p>
    <w:sectPr w:rsidR="00761A11" w:rsidRPr="00675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5311"/>
    <w:multiLevelType w:val="hybridMultilevel"/>
    <w:tmpl w:val="07628976"/>
    <w:lvl w:ilvl="0" w:tplc="E23227EE">
      <w:start w:val="1"/>
      <w:numFmt w:val="bullet"/>
      <w:lvlText w:val=""/>
      <w:lvlJc w:val="left"/>
      <w:pPr>
        <w:tabs>
          <w:tab w:val="num" w:pos="720"/>
        </w:tabs>
        <w:ind w:left="720" w:hanging="360"/>
      </w:pPr>
      <w:rPr>
        <w:rFonts w:ascii="Wingdings" w:hAnsi="Wingdings" w:hint="default"/>
      </w:rPr>
    </w:lvl>
    <w:lvl w:ilvl="1" w:tplc="43C2BA7A" w:tentative="1">
      <w:start w:val="1"/>
      <w:numFmt w:val="bullet"/>
      <w:lvlText w:val=""/>
      <w:lvlJc w:val="left"/>
      <w:pPr>
        <w:tabs>
          <w:tab w:val="num" w:pos="1440"/>
        </w:tabs>
        <w:ind w:left="1440" w:hanging="360"/>
      </w:pPr>
      <w:rPr>
        <w:rFonts w:ascii="Wingdings" w:hAnsi="Wingdings" w:hint="default"/>
      </w:rPr>
    </w:lvl>
    <w:lvl w:ilvl="2" w:tplc="90CA3E6C" w:tentative="1">
      <w:start w:val="1"/>
      <w:numFmt w:val="bullet"/>
      <w:lvlText w:val=""/>
      <w:lvlJc w:val="left"/>
      <w:pPr>
        <w:tabs>
          <w:tab w:val="num" w:pos="2160"/>
        </w:tabs>
        <w:ind w:left="2160" w:hanging="360"/>
      </w:pPr>
      <w:rPr>
        <w:rFonts w:ascii="Wingdings" w:hAnsi="Wingdings" w:hint="default"/>
      </w:rPr>
    </w:lvl>
    <w:lvl w:ilvl="3" w:tplc="20E68292" w:tentative="1">
      <w:start w:val="1"/>
      <w:numFmt w:val="bullet"/>
      <w:lvlText w:val=""/>
      <w:lvlJc w:val="left"/>
      <w:pPr>
        <w:tabs>
          <w:tab w:val="num" w:pos="2880"/>
        </w:tabs>
        <w:ind w:left="2880" w:hanging="360"/>
      </w:pPr>
      <w:rPr>
        <w:rFonts w:ascii="Wingdings" w:hAnsi="Wingdings" w:hint="default"/>
      </w:rPr>
    </w:lvl>
    <w:lvl w:ilvl="4" w:tplc="B0ECDD5A" w:tentative="1">
      <w:start w:val="1"/>
      <w:numFmt w:val="bullet"/>
      <w:lvlText w:val=""/>
      <w:lvlJc w:val="left"/>
      <w:pPr>
        <w:tabs>
          <w:tab w:val="num" w:pos="3600"/>
        </w:tabs>
        <w:ind w:left="3600" w:hanging="360"/>
      </w:pPr>
      <w:rPr>
        <w:rFonts w:ascii="Wingdings" w:hAnsi="Wingdings" w:hint="default"/>
      </w:rPr>
    </w:lvl>
    <w:lvl w:ilvl="5" w:tplc="4092B5FC" w:tentative="1">
      <w:start w:val="1"/>
      <w:numFmt w:val="bullet"/>
      <w:lvlText w:val=""/>
      <w:lvlJc w:val="left"/>
      <w:pPr>
        <w:tabs>
          <w:tab w:val="num" w:pos="4320"/>
        </w:tabs>
        <w:ind w:left="4320" w:hanging="360"/>
      </w:pPr>
      <w:rPr>
        <w:rFonts w:ascii="Wingdings" w:hAnsi="Wingdings" w:hint="default"/>
      </w:rPr>
    </w:lvl>
    <w:lvl w:ilvl="6" w:tplc="1DD287D8" w:tentative="1">
      <w:start w:val="1"/>
      <w:numFmt w:val="bullet"/>
      <w:lvlText w:val=""/>
      <w:lvlJc w:val="left"/>
      <w:pPr>
        <w:tabs>
          <w:tab w:val="num" w:pos="5040"/>
        </w:tabs>
        <w:ind w:left="5040" w:hanging="360"/>
      </w:pPr>
      <w:rPr>
        <w:rFonts w:ascii="Wingdings" w:hAnsi="Wingdings" w:hint="default"/>
      </w:rPr>
    </w:lvl>
    <w:lvl w:ilvl="7" w:tplc="E41A7770" w:tentative="1">
      <w:start w:val="1"/>
      <w:numFmt w:val="bullet"/>
      <w:lvlText w:val=""/>
      <w:lvlJc w:val="left"/>
      <w:pPr>
        <w:tabs>
          <w:tab w:val="num" w:pos="5760"/>
        </w:tabs>
        <w:ind w:left="5760" w:hanging="360"/>
      </w:pPr>
      <w:rPr>
        <w:rFonts w:ascii="Wingdings" w:hAnsi="Wingdings" w:hint="default"/>
      </w:rPr>
    </w:lvl>
    <w:lvl w:ilvl="8" w:tplc="73529BC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312521"/>
    <w:multiLevelType w:val="hybridMultilevel"/>
    <w:tmpl w:val="2924C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593117">
    <w:abstractNumId w:val="0"/>
  </w:num>
  <w:num w:numId="2" w16cid:durableId="1086414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B8"/>
    <w:rsid w:val="000D61C0"/>
    <w:rsid w:val="001166F6"/>
    <w:rsid w:val="00333483"/>
    <w:rsid w:val="005C09AD"/>
    <w:rsid w:val="00675AD0"/>
    <w:rsid w:val="00761A11"/>
    <w:rsid w:val="008210B8"/>
    <w:rsid w:val="00A36500"/>
    <w:rsid w:val="00B04F6A"/>
    <w:rsid w:val="00B14FE0"/>
    <w:rsid w:val="00F55702"/>
    <w:rsid w:val="00FC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75ED"/>
  <w15:chartTrackingRefBased/>
  <w15:docId w15:val="{386B9D6F-CADC-4B69-8C99-5D9134B2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0B8"/>
    <w:rPr>
      <w:rFonts w:eastAsiaTheme="majorEastAsia" w:cstheme="majorBidi"/>
      <w:color w:val="272727" w:themeColor="text1" w:themeTint="D8"/>
    </w:rPr>
  </w:style>
  <w:style w:type="paragraph" w:styleId="Title">
    <w:name w:val="Title"/>
    <w:basedOn w:val="Normal"/>
    <w:next w:val="Normal"/>
    <w:link w:val="TitleChar"/>
    <w:uiPriority w:val="10"/>
    <w:qFormat/>
    <w:rsid w:val="00821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0B8"/>
    <w:pPr>
      <w:spacing w:before="160"/>
      <w:jc w:val="center"/>
    </w:pPr>
    <w:rPr>
      <w:i/>
      <w:iCs/>
      <w:color w:val="404040" w:themeColor="text1" w:themeTint="BF"/>
    </w:rPr>
  </w:style>
  <w:style w:type="character" w:customStyle="1" w:styleId="QuoteChar">
    <w:name w:val="Quote Char"/>
    <w:basedOn w:val="DefaultParagraphFont"/>
    <w:link w:val="Quote"/>
    <w:uiPriority w:val="29"/>
    <w:rsid w:val="008210B8"/>
    <w:rPr>
      <w:i/>
      <w:iCs/>
      <w:color w:val="404040" w:themeColor="text1" w:themeTint="BF"/>
    </w:rPr>
  </w:style>
  <w:style w:type="paragraph" w:styleId="ListParagraph">
    <w:name w:val="List Paragraph"/>
    <w:basedOn w:val="Normal"/>
    <w:uiPriority w:val="34"/>
    <w:qFormat/>
    <w:rsid w:val="008210B8"/>
    <w:pPr>
      <w:ind w:left="720"/>
      <w:contextualSpacing/>
    </w:pPr>
  </w:style>
  <w:style w:type="character" w:styleId="IntenseEmphasis">
    <w:name w:val="Intense Emphasis"/>
    <w:basedOn w:val="DefaultParagraphFont"/>
    <w:uiPriority w:val="21"/>
    <w:qFormat/>
    <w:rsid w:val="008210B8"/>
    <w:rPr>
      <w:i/>
      <w:iCs/>
      <w:color w:val="0F4761" w:themeColor="accent1" w:themeShade="BF"/>
    </w:rPr>
  </w:style>
  <w:style w:type="paragraph" w:styleId="IntenseQuote">
    <w:name w:val="Intense Quote"/>
    <w:basedOn w:val="Normal"/>
    <w:next w:val="Normal"/>
    <w:link w:val="IntenseQuoteChar"/>
    <w:uiPriority w:val="30"/>
    <w:qFormat/>
    <w:rsid w:val="00821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0B8"/>
    <w:rPr>
      <w:i/>
      <w:iCs/>
      <w:color w:val="0F4761" w:themeColor="accent1" w:themeShade="BF"/>
    </w:rPr>
  </w:style>
  <w:style w:type="character" w:styleId="IntenseReference">
    <w:name w:val="Intense Reference"/>
    <w:basedOn w:val="DefaultParagraphFont"/>
    <w:uiPriority w:val="32"/>
    <w:qFormat/>
    <w:rsid w:val="008210B8"/>
    <w:rPr>
      <w:b/>
      <w:bCs/>
      <w:smallCaps/>
      <w:color w:val="0F4761" w:themeColor="accent1" w:themeShade="BF"/>
      <w:spacing w:val="5"/>
    </w:rPr>
  </w:style>
  <w:style w:type="paragraph" w:styleId="NormalWeb">
    <w:name w:val="Normal (Web)"/>
    <w:basedOn w:val="Normal"/>
    <w:uiPriority w:val="99"/>
    <w:semiHidden/>
    <w:unhideWhenUsed/>
    <w:rsid w:val="00761A1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33375">
      <w:bodyDiv w:val="1"/>
      <w:marLeft w:val="0"/>
      <w:marRight w:val="0"/>
      <w:marTop w:val="0"/>
      <w:marBottom w:val="0"/>
      <w:divBdr>
        <w:top w:val="none" w:sz="0" w:space="0" w:color="auto"/>
        <w:left w:val="none" w:sz="0" w:space="0" w:color="auto"/>
        <w:bottom w:val="none" w:sz="0" w:space="0" w:color="auto"/>
        <w:right w:val="none" w:sz="0" w:space="0" w:color="auto"/>
      </w:divBdr>
      <w:divsChild>
        <w:div w:id="1402750268">
          <w:marLeft w:val="547"/>
          <w:marRight w:val="0"/>
          <w:marTop w:val="200"/>
          <w:marBottom w:val="0"/>
          <w:divBdr>
            <w:top w:val="none" w:sz="0" w:space="0" w:color="auto"/>
            <w:left w:val="none" w:sz="0" w:space="0" w:color="auto"/>
            <w:bottom w:val="none" w:sz="0" w:space="0" w:color="auto"/>
            <w:right w:val="none" w:sz="0" w:space="0" w:color="auto"/>
          </w:divBdr>
        </w:div>
        <w:div w:id="1265773298">
          <w:marLeft w:val="547"/>
          <w:marRight w:val="0"/>
          <w:marTop w:val="200"/>
          <w:marBottom w:val="0"/>
          <w:divBdr>
            <w:top w:val="none" w:sz="0" w:space="0" w:color="auto"/>
            <w:left w:val="none" w:sz="0" w:space="0" w:color="auto"/>
            <w:bottom w:val="none" w:sz="0" w:space="0" w:color="auto"/>
            <w:right w:val="none" w:sz="0" w:space="0" w:color="auto"/>
          </w:divBdr>
        </w:div>
        <w:div w:id="1906840089">
          <w:marLeft w:val="547"/>
          <w:marRight w:val="0"/>
          <w:marTop w:val="200"/>
          <w:marBottom w:val="0"/>
          <w:divBdr>
            <w:top w:val="none" w:sz="0" w:space="0" w:color="auto"/>
            <w:left w:val="none" w:sz="0" w:space="0" w:color="auto"/>
            <w:bottom w:val="none" w:sz="0" w:space="0" w:color="auto"/>
            <w:right w:val="none" w:sz="0" w:space="0" w:color="auto"/>
          </w:divBdr>
        </w:div>
      </w:divsChild>
    </w:div>
    <w:div w:id="16990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Clotfelter, Brenda</dc:creator>
  <cp:keywords/>
  <dc:description/>
  <cp:lastModifiedBy>Nagineni, Priya</cp:lastModifiedBy>
  <cp:revision>4</cp:revision>
  <dcterms:created xsi:type="dcterms:W3CDTF">2025-11-25T13:33:00Z</dcterms:created>
  <dcterms:modified xsi:type="dcterms:W3CDTF">2026-03-03T13:40:00Z</dcterms:modified>
</cp:coreProperties>
</file>